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A64" w:rsidRPr="00ED3526" w:rsidRDefault="00567A64" w:rsidP="00567A64">
      <w:pPr>
        <w:pStyle w:val="a6"/>
        <w:tabs>
          <w:tab w:val="left" w:pos="8280"/>
        </w:tabs>
        <w:spacing w:line="280" w:lineRule="exact"/>
        <w:rPr>
          <w:rFonts w:cs="Arial"/>
          <w:sz w:val="24"/>
          <w:szCs w:val="24"/>
          <w:lang w:val="en-US" w:eastAsia="ja-JP"/>
        </w:rPr>
      </w:pPr>
      <w:bookmarkStart w:id="0" w:name="_GoBack"/>
      <w:bookmarkEnd w:id="0"/>
      <w:r w:rsidRPr="00ED3526">
        <w:rPr>
          <w:rFonts w:cs="Arial"/>
          <w:sz w:val="24"/>
          <w:szCs w:val="24"/>
          <w:lang w:val="en-US"/>
        </w:rPr>
        <w:t>3GPP TSG-RAN WG4</w:t>
      </w:r>
      <w:r w:rsidRPr="00ED3526">
        <w:rPr>
          <w:rFonts w:cs="Arial"/>
          <w:sz w:val="24"/>
          <w:szCs w:val="24"/>
          <w:lang w:val="en-US" w:eastAsia="ja-JP"/>
        </w:rPr>
        <w:t xml:space="preserve"> Meeting #7</w:t>
      </w:r>
      <w:r>
        <w:rPr>
          <w:rFonts w:cs="Arial"/>
          <w:sz w:val="24"/>
          <w:szCs w:val="24"/>
          <w:lang w:val="en-US" w:eastAsia="ja-JP"/>
        </w:rPr>
        <w:t>7</w:t>
      </w:r>
      <w:r w:rsidRPr="00ED3526">
        <w:rPr>
          <w:rFonts w:cs="Arial"/>
          <w:sz w:val="24"/>
          <w:szCs w:val="24"/>
          <w:lang w:val="en-US" w:eastAsia="ja-JP"/>
        </w:rPr>
        <w:t xml:space="preserve"> </w:t>
      </w:r>
      <w:r>
        <w:rPr>
          <w:rFonts w:cs="Arial"/>
          <w:sz w:val="24"/>
          <w:szCs w:val="24"/>
          <w:lang w:val="en-US"/>
        </w:rPr>
        <w:t xml:space="preserve">                           </w:t>
      </w:r>
      <w:r w:rsidR="00876AF6">
        <w:rPr>
          <w:rFonts w:cs="Arial"/>
          <w:sz w:val="24"/>
          <w:szCs w:val="24"/>
          <w:lang w:val="en-US"/>
        </w:rPr>
        <w:t xml:space="preserve">           </w:t>
      </w:r>
      <w:r w:rsidRPr="003E312C">
        <w:rPr>
          <w:rFonts w:cs="Arial"/>
          <w:sz w:val="24"/>
          <w:szCs w:val="24"/>
          <w:lang w:val="en-US"/>
        </w:rPr>
        <w:t>R4-15</w:t>
      </w:r>
      <w:r>
        <w:rPr>
          <w:rFonts w:cs="Arial"/>
          <w:sz w:val="24"/>
          <w:szCs w:val="24"/>
          <w:lang w:val="en-US"/>
        </w:rPr>
        <w:t>8207</w:t>
      </w:r>
    </w:p>
    <w:p w:rsidR="00567A64" w:rsidRPr="00ED3526" w:rsidRDefault="00567A64" w:rsidP="00567A64">
      <w:pPr>
        <w:tabs>
          <w:tab w:val="left" w:pos="1985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ja-JP"/>
        </w:rPr>
      </w:pPr>
      <w:r>
        <w:rPr>
          <w:rFonts w:ascii="Arial" w:hAnsi="Arial" w:cs="Arial"/>
          <w:b/>
          <w:sz w:val="24"/>
          <w:szCs w:val="24"/>
          <w:lang w:eastAsia="ja-JP"/>
        </w:rPr>
        <w:t>Anaheim</w:t>
      </w:r>
      <w:r w:rsidRPr="00ED3526">
        <w:rPr>
          <w:rFonts w:ascii="Arial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szCs w:val="24"/>
          <w:lang w:eastAsia="ja-JP"/>
        </w:rPr>
        <w:t>CA, USA</w:t>
      </w:r>
      <w:r w:rsidRPr="00ED3526">
        <w:rPr>
          <w:rFonts w:ascii="Arial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szCs w:val="24"/>
          <w:lang w:eastAsia="ja-JP"/>
        </w:rPr>
        <w:t>November 16</w:t>
      </w:r>
      <w:r w:rsidRPr="00ED3526">
        <w:rPr>
          <w:rFonts w:ascii="Arial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hAnsi="Arial" w:cs="Arial"/>
          <w:b/>
          <w:sz w:val="24"/>
          <w:szCs w:val="24"/>
          <w:lang w:eastAsia="ja-JP"/>
        </w:rPr>
        <w:t>20</w:t>
      </w:r>
      <w:r w:rsidRPr="00ED3526">
        <w:rPr>
          <w:rFonts w:ascii="Arial" w:hAnsi="Arial" w:cs="Arial"/>
          <w:b/>
          <w:sz w:val="24"/>
          <w:szCs w:val="24"/>
          <w:lang w:eastAsia="ja-JP"/>
        </w:rPr>
        <w:t>, 201</w:t>
      </w:r>
      <w:r>
        <w:rPr>
          <w:rFonts w:ascii="Arial" w:hAnsi="Arial" w:cs="Arial"/>
          <w:b/>
          <w:sz w:val="24"/>
          <w:szCs w:val="24"/>
          <w:lang w:eastAsia="ja-JP"/>
        </w:rPr>
        <w:t>5</w:t>
      </w:r>
    </w:p>
    <w:p w:rsidR="00567A64" w:rsidRPr="00ED3526" w:rsidRDefault="00567A64" w:rsidP="00567A64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sv-SE" w:eastAsia="ja-JP"/>
        </w:rPr>
      </w:pPr>
    </w:p>
    <w:p w:rsidR="00567A64" w:rsidRPr="00ED3526" w:rsidRDefault="00567A64" w:rsidP="00567A64">
      <w:pPr>
        <w:tabs>
          <w:tab w:val="left" w:pos="1740"/>
        </w:tabs>
        <w:spacing w:before="120" w:after="120"/>
        <w:jc w:val="both"/>
        <w:rPr>
          <w:rFonts w:ascii="Arial" w:hAnsi="Arial" w:cs="Arial"/>
          <w:sz w:val="24"/>
          <w:lang w:val="en-US" w:eastAsia="ja-JP"/>
        </w:rPr>
      </w:pPr>
      <w:r w:rsidRPr="00ED3526">
        <w:rPr>
          <w:rFonts w:ascii="Arial" w:hAnsi="Arial" w:cs="Arial"/>
          <w:b/>
          <w:sz w:val="24"/>
          <w:lang w:val="en-US"/>
        </w:rPr>
        <w:t>Agenda item:</w:t>
      </w:r>
      <w:r w:rsidRPr="00ED3526">
        <w:rPr>
          <w:rFonts w:ascii="Arial" w:hAnsi="Arial" w:cs="Arial"/>
          <w:sz w:val="24"/>
          <w:lang w:val="en-US"/>
        </w:rPr>
        <w:tab/>
      </w:r>
      <w:bookmarkStart w:id="1" w:name="Source"/>
      <w:bookmarkEnd w:id="1"/>
      <w:r>
        <w:rPr>
          <w:rFonts w:ascii="Arial" w:hAnsi="Arial" w:cs="Arial"/>
          <w:sz w:val="24"/>
          <w:lang w:val="en-US" w:eastAsia="ja-JP"/>
        </w:rPr>
        <w:t>7.50.3</w:t>
      </w:r>
    </w:p>
    <w:p w:rsidR="00567A64" w:rsidRPr="00ED3526" w:rsidRDefault="00567A64" w:rsidP="00567A64">
      <w:pPr>
        <w:tabs>
          <w:tab w:val="left" w:pos="1725"/>
        </w:tabs>
        <w:spacing w:before="120" w:after="120"/>
        <w:jc w:val="both"/>
        <w:rPr>
          <w:rFonts w:ascii="Arial" w:hAnsi="Arial" w:cs="Arial"/>
          <w:sz w:val="24"/>
          <w:lang w:val="en-US" w:eastAsia="ja-JP"/>
        </w:rPr>
      </w:pPr>
      <w:r w:rsidRPr="00ED3526">
        <w:rPr>
          <w:rFonts w:ascii="Arial" w:hAnsi="Arial" w:cs="Arial"/>
          <w:b/>
          <w:sz w:val="24"/>
          <w:lang w:val="en-US"/>
        </w:rPr>
        <w:t xml:space="preserve">Source: </w:t>
      </w:r>
      <w:r w:rsidRPr="00ED3526">
        <w:rPr>
          <w:rFonts w:ascii="Arial" w:hAnsi="Arial" w:cs="Arial"/>
          <w:b/>
          <w:sz w:val="24"/>
          <w:lang w:val="en-US"/>
        </w:rPr>
        <w:tab/>
      </w:r>
      <w:r w:rsidRPr="00ED3526">
        <w:rPr>
          <w:rFonts w:ascii="Arial" w:hAnsi="Arial" w:cs="Arial"/>
          <w:sz w:val="24"/>
          <w:lang w:val="en-US" w:eastAsia="ja-JP"/>
        </w:rPr>
        <w:t>Intel</w:t>
      </w:r>
      <w:r>
        <w:rPr>
          <w:rFonts w:ascii="Arial" w:hAnsi="Arial" w:cs="Arial"/>
          <w:sz w:val="24"/>
          <w:lang w:val="en-US" w:eastAsia="ja-JP"/>
        </w:rPr>
        <w:t>,</w:t>
      </w:r>
      <w:r w:rsidR="00E65C9E">
        <w:rPr>
          <w:rFonts w:ascii="Arial" w:hAnsi="Arial" w:cs="Arial"/>
          <w:sz w:val="24"/>
          <w:lang w:val="en-US" w:eastAsia="ja-JP"/>
        </w:rPr>
        <w:t xml:space="preserve"> </w:t>
      </w:r>
      <w:r>
        <w:rPr>
          <w:rFonts w:ascii="Arial" w:hAnsi="Arial" w:cs="Arial"/>
          <w:sz w:val="24"/>
          <w:lang w:val="en-US" w:eastAsia="ja-JP"/>
        </w:rPr>
        <w:t xml:space="preserve">Ericsson, Huawei, </w:t>
      </w:r>
      <w:r w:rsidR="005B125C">
        <w:rPr>
          <w:rFonts w:ascii="Arial" w:hAnsi="Arial" w:cs="Arial"/>
          <w:sz w:val="24"/>
          <w:lang w:val="en-US" w:eastAsia="ja-JP"/>
        </w:rPr>
        <w:t>Nokia, Qualcomm</w:t>
      </w:r>
    </w:p>
    <w:p w:rsidR="00567A64" w:rsidRPr="00567A64" w:rsidRDefault="00567A64" w:rsidP="00A925B3">
      <w:pPr>
        <w:spacing w:before="120" w:after="120"/>
        <w:ind w:leftChars="-11" w:left="1699" w:hangingChars="717" w:hanging="1721"/>
        <w:rPr>
          <w:rFonts w:ascii="Arial" w:hAnsi="Arial" w:cs="Arial"/>
          <w:sz w:val="24"/>
          <w:szCs w:val="24"/>
        </w:rPr>
      </w:pPr>
      <w:r w:rsidRPr="00567A64">
        <w:rPr>
          <w:rFonts w:ascii="Arial" w:hAnsi="Arial" w:cs="Arial"/>
          <w:sz w:val="24"/>
          <w:szCs w:val="24"/>
        </w:rPr>
        <w:t xml:space="preserve">Title: </w:t>
      </w:r>
      <w:r w:rsidRPr="00567A64">
        <w:rPr>
          <w:rFonts w:ascii="Arial" w:hAnsi="Arial" w:cs="Arial"/>
          <w:sz w:val="24"/>
          <w:szCs w:val="24"/>
        </w:rPr>
        <w:tab/>
        <w:t>Way forward on coexistence simulation assumptions</w:t>
      </w:r>
    </w:p>
    <w:p w:rsidR="00567A64" w:rsidRPr="00ED3526" w:rsidRDefault="00567A64" w:rsidP="00567A64">
      <w:pPr>
        <w:tabs>
          <w:tab w:val="left" w:pos="1740"/>
        </w:tabs>
        <w:spacing w:before="120" w:after="120"/>
        <w:ind w:right="-441"/>
        <w:jc w:val="both"/>
        <w:rPr>
          <w:rFonts w:ascii="Arial" w:hAnsi="Arial" w:cs="Arial"/>
          <w:sz w:val="24"/>
          <w:lang w:eastAsia="ja-JP"/>
        </w:rPr>
      </w:pPr>
      <w:r w:rsidRPr="00ED3526">
        <w:rPr>
          <w:rFonts w:ascii="Arial" w:hAnsi="Arial" w:cs="Arial"/>
          <w:b/>
          <w:sz w:val="24"/>
        </w:rPr>
        <w:t>Document for:</w:t>
      </w:r>
      <w:r w:rsidRPr="00ED3526">
        <w:rPr>
          <w:rFonts w:ascii="Arial" w:hAnsi="Arial" w:cs="Arial"/>
          <w:sz w:val="24"/>
        </w:rPr>
        <w:tab/>
      </w:r>
      <w:bookmarkStart w:id="2" w:name="DocumentFor"/>
      <w:bookmarkEnd w:id="2"/>
      <w:r>
        <w:rPr>
          <w:rFonts w:ascii="Arial" w:hAnsi="Arial" w:cs="Arial"/>
          <w:sz w:val="24"/>
          <w:lang w:eastAsia="ja-JP"/>
        </w:rPr>
        <w:t>Approval</w:t>
      </w:r>
    </w:p>
    <w:p w:rsidR="00567A64" w:rsidRPr="00ED3526" w:rsidRDefault="00567A64" w:rsidP="00567A64">
      <w:pPr>
        <w:pStyle w:val="1"/>
        <w:numPr>
          <w:ilvl w:val="0"/>
          <w:numId w:val="0"/>
        </w:numPr>
        <w:spacing w:before="0" w:after="0" w:line="240" w:lineRule="exact"/>
        <w:jc w:val="both"/>
        <w:rPr>
          <w:rFonts w:cs="Arial"/>
          <w:sz w:val="16"/>
          <w:szCs w:val="16"/>
          <w:lang w:eastAsia="ja-JP"/>
        </w:rPr>
      </w:pPr>
    </w:p>
    <w:p w:rsidR="00621047" w:rsidRDefault="00A96184" w:rsidP="00567A64">
      <w:pPr>
        <w:spacing w:before="36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Proposal: It is proposed to accept this document as the way forward on simulation assumptions for the coexistence study between NB-IoT and legacy systems</w:t>
      </w:r>
      <w:r w:rsidR="00E65C9E">
        <w:rPr>
          <w:rFonts w:ascii="Arial" w:hAnsi="Arial" w:cs="Arial"/>
          <w:b/>
        </w:rPr>
        <w:t xml:space="preserve">, </w:t>
      </w:r>
      <w:r w:rsidR="00E65C9E" w:rsidRPr="00EA7362">
        <w:rPr>
          <w:rFonts w:ascii="Arial" w:hAnsi="Arial" w:cs="Arial"/>
          <w:b/>
          <w:highlight w:val="yellow"/>
        </w:rPr>
        <w:t>except for the fields highlighted</w:t>
      </w:r>
      <w:r w:rsidR="00EA7362" w:rsidRPr="00EA7362">
        <w:rPr>
          <w:rFonts w:ascii="Arial" w:hAnsi="Arial" w:cs="Arial"/>
          <w:b/>
          <w:highlight w:val="yellow"/>
        </w:rPr>
        <w:t xml:space="preserve"> in yellow</w:t>
      </w:r>
      <w:r>
        <w:rPr>
          <w:rFonts w:ascii="Arial" w:hAnsi="Arial" w:cs="Arial"/>
          <w:b/>
        </w:rPr>
        <w:t>.</w:t>
      </w:r>
    </w:p>
    <w:p w:rsidR="00E65C9E" w:rsidRPr="00771E97" w:rsidRDefault="00E65C9E" w:rsidP="00E65C9E">
      <w:pPr>
        <w:spacing w:before="360" w:after="120"/>
        <w:jc w:val="center"/>
        <w:rPr>
          <w:rFonts w:ascii="Arial" w:hAnsi="Arial" w:cs="Arial"/>
          <w:b/>
        </w:rPr>
      </w:pPr>
      <w:r w:rsidRPr="00771E97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</w:rPr>
        <w:t>1</w:t>
      </w:r>
      <w:r w:rsidRPr="00771E97">
        <w:rPr>
          <w:rFonts w:ascii="Arial" w:hAnsi="Arial" w:cs="Arial"/>
          <w:b/>
        </w:rPr>
        <w:t xml:space="preserve">: Simulation assumptions </w:t>
      </w:r>
      <w:r>
        <w:rPr>
          <w:rFonts w:ascii="Arial" w:hAnsi="Arial" w:cs="Arial"/>
          <w:b/>
        </w:rPr>
        <w:t xml:space="preserve">and </w:t>
      </w:r>
      <w:r w:rsidRPr="00771E97">
        <w:rPr>
          <w:rFonts w:ascii="Arial" w:hAnsi="Arial" w:cs="Arial"/>
          <w:b/>
        </w:rPr>
        <w:t>parameters</w:t>
      </w:r>
    </w:p>
    <w:tbl>
      <w:tblPr>
        <w:tblW w:w="965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1512"/>
        <w:gridCol w:w="1512"/>
        <w:gridCol w:w="1512"/>
        <w:gridCol w:w="1512"/>
        <w:gridCol w:w="1512"/>
      </w:tblGrid>
      <w:tr w:rsidR="00E65C9E" w:rsidRPr="00E65C9E" w:rsidTr="00E25038">
        <w:trPr>
          <w:cantSplit/>
          <w:trHeight w:val="330"/>
          <w:tblHeader/>
          <w:jc w:val="center"/>
        </w:trPr>
        <w:tc>
          <w:tcPr>
            <w:tcW w:w="2098" w:type="dxa"/>
            <w:vAlign w:val="center"/>
          </w:tcPr>
          <w:p w:rsidR="00E65C9E" w:rsidRPr="00D7458C" w:rsidRDefault="00E65C9E" w:rsidP="00E25038">
            <w:pPr>
              <w:spacing w:before="32" w:after="32"/>
              <w:jc w:val="center"/>
              <w:rPr>
                <w:rFonts w:ascii="Arial" w:hAnsi="Arial" w:cs="Arial"/>
                <w:b/>
                <w:lang w:eastAsia="ja-JP"/>
              </w:rPr>
            </w:pP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32" w:after="32"/>
              <w:jc w:val="center"/>
              <w:rPr>
                <w:rFonts w:ascii="Arial" w:hAnsi="Arial" w:cs="Arial"/>
                <w:b/>
              </w:rPr>
            </w:pPr>
            <w:r w:rsidRPr="00E65C9E">
              <w:rPr>
                <w:rFonts w:ascii="Arial" w:hAnsi="Arial" w:cs="Arial"/>
                <w:b/>
              </w:rPr>
              <w:t>IoT</w:t>
            </w:r>
          </w:p>
          <w:p w:rsidR="00E65C9E" w:rsidRPr="00E65C9E" w:rsidRDefault="00E65C9E" w:rsidP="00E25038">
            <w:pPr>
              <w:spacing w:before="32" w:after="32"/>
              <w:jc w:val="center"/>
              <w:rPr>
                <w:rFonts w:ascii="Arial" w:hAnsi="Arial" w:cs="Arial"/>
                <w:b/>
              </w:rPr>
            </w:pPr>
            <w:r w:rsidRPr="00E65C9E">
              <w:rPr>
                <w:rFonts w:ascii="Arial" w:hAnsi="Arial" w:cs="Arial"/>
                <w:sz w:val="14"/>
                <w:szCs w:val="14"/>
              </w:rPr>
              <w:t>standalone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32" w:after="32"/>
              <w:jc w:val="center"/>
              <w:rPr>
                <w:rFonts w:ascii="Arial" w:hAnsi="Arial" w:cs="Arial"/>
                <w:b/>
              </w:rPr>
            </w:pPr>
            <w:r w:rsidRPr="00E65C9E">
              <w:rPr>
                <w:rFonts w:ascii="Arial" w:hAnsi="Arial" w:cs="Arial"/>
                <w:b/>
              </w:rPr>
              <w:t>IoT</w:t>
            </w:r>
          </w:p>
          <w:p w:rsidR="00E65C9E" w:rsidRPr="00E65C9E" w:rsidRDefault="00E65C9E" w:rsidP="00E25038">
            <w:pPr>
              <w:spacing w:before="32" w:after="32"/>
              <w:jc w:val="center"/>
              <w:rPr>
                <w:rFonts w:ascii="Arial" w:hAnsi="Arial" w:cs="Arial"/>
                <w:b/>
                <w:lang w:eastAsia="ja-JP"/>
              </w:rPr>
            </w:pPr>
            <w:r w:rsidRPr="00E65C9E">
              <w:rPr>
                <w:rFonts w:ascii="Arial" w:hAnsi="Arial" w:cs="Arial"/>
                <w:sz w:val="14"/>
                <w:szCs w:val="14"/>
              </w:rPr>
              <w:t>in-band/guard-band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32" w:after="32"/>
              <w:jc w:val="center"/>
              <w:rPr>
                <w:rFonts w:ascii="Arial" w:hAnsi="Arial" w:cs="Arial"/>
                <w:b/>
              </w:rPr>
            </w:pPr>
            <w:r w:rsidRPr="00E65C9E">
              <w:rPr>
                <w:rFonts w:ascii="Arial" w:hAnsi="Arial" w:cs="Arial"/>
                <w:b/>
              </w:rPr>
              <w:t>LTE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32" w:after="32"/>
              <w:jc w:val="center"/>
              <w:rPr>
                <w:rFonts w:ascii="Arial" w:hAnsi="Arial" w:cs="Arial"/>
                <w:b/>
                <w:lang w:eastAsia="ja-JP"/>
              </w:rPr>
            </w:pPr>
            <w:r w:rsidRPr="00E65C9E">
              <w:rPr>
                <w:rFonts w:ascii="Arial" w:hAnsi="Arial" w:cs="Arial"/>
                <w:b/>
              </w:rPr>
              <w:t>UMTS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32" w:after="32"/>
              <w:jc w:val="center"/>
              <w:rPr>
                <w:rFonts w:ascii="Arial" w:hAnsi="Arial" w:cs="Arial"/>
                <w:b/>
              </w:rPr>
            </w:pPr>
            <w:r w:rsidRPr="00E65C9E">
              <w:rPr>
                <w:rFonts w:ascii="Arial" w:hAnsi="Arial" w:cs="Arial"/>
                <w:b/>
              </w:rPr>
              <w:t>GSM</w:t>
            </w: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 xml:space="preserve">Carrier frequency in </w:t>
            </w:r>
            <w:r w:rsidRPr="00E65C9E">
              <w:rPr>
                <w:rFonts w:ascii="Arial" w:hAnsi="Arial" w:cs="Arial"/>
                <w:bCs/>
                <w:i/>
              </w:rPr>
              <w:t>GHz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0.9 and 2</w:t>
            </w:r>
          </w:p>
        </w:tc>
        <w:tc>
          <w:tcPr>
            <w:tcW w:w="1512" w:type="dxa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0.9 and 2</w:t>
            </w:r>
          </w:p>
        </w:tc>
        <w:tc>
          <w:tcPr>
            <w:tcW w:w="1512" w:type="dxa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0.9 and 2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0.9 or 2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0.9</w:t>
            </w: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 xml:space="preserve">Size of each nominal channel BW in </w:t>
            </w:r>
            <w:r w:rsidRPr="00E65C9E">
              <w:rPr>
                <w:rFonts w:ascii="Arial" w:hAnsi="Arial" w:cs="Arial"/>
                <w:bCs/>
                <w:i/>
              </w:rPr>
              <w:t>MHz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0.2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0.18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10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5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0.2</w:t>
            </w: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 xml:space="preserve">Transmission bandwidth in </w:t>
            </w:r>
            <w:r w:rsidRPr="00E65C9E">
              <w:rPr>
                <w:rFonts w:ascii="Arial" w:hAnsi="Arial" w:cs="Arial"/>
                <w:bCs/>
                <w:i/>
              </w:rPr>
              <w:t>MHz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0.18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0.18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9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3.84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0.2</w:t>
            </w: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>Environment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Urban macro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Urban macro</w:t>
            </w:r>
          </w:p>
        </w:tc>
        <w:tc>
          <w:tcPr>
            <w:tcW w:w="1512" w:type="dxa"/>
            <w:vAlign w:val="center"/>
          </w:tcPr>
          <w:p w:rsidR="00E65C9E" w:rsidRPr="00E65C9E" w:rsidDel="006A1466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Urban macro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Urban macro</w:t>
            </w:r>
          </w:p>
        </w:tc>
        <w:tc>
          <w:tcPr>
            <w:tcW w:w="1512" w:type="dxa"/>
            <w:vAlign w:val="center"/>
          </w:tcPr>
          <w:p w:rsidR="00E65C9E" w:rsidRPr="00E65C9E" w:rsidDel="00E81EF3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Urban macro</w:t>
            </w: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>Network layout</w:t>
            </w:r>
          </w:p>
        </w:tc>
        <w:tc>
          <w:tcPr>
            <w:tcW w:w="1512" w:type="dxa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19-sites [57 sectors] with wrap-around</w:t>
            </w:r>
          </w:p>
        </w:tc>
        <w:tc>
          <w:tcPr>
            <w:tcW w:w="1512" w:type="dxa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19-sites [57 sectors] with wrap-around</w:t>
            </w:r>
          </w:p>
        </w:tc>
        <w:tc>
          <w:tcPr>
            <w:tcW w:w="1512" w:type="dxa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19-sites [57 sectors] with wrap-around</w:t>
            </w:r>
          </w:p>
        </w:tc>
        <w:tc>
          <w:tcPr>
            <w:tcW w:w="1512" w:type="dxa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19-sites [57 sectors] with wrap-around</w:t>
            </w:r>
          </w:p>
        </w:tc>
        <w:tc>
          <w:tcPr>
            <w:tcW w:w="1512" w:type="dxa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19-sites [57 sectors] with wrap-around</w:t>
            </w: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 xml:space="preserve">Inter-site distance in </w:t>
            </w:r>
            <w:r w:rsidRPr="00E65C9E">
              <w:rPr>
                <w:rFonts w:ascii="Arial" w:hAnsi="Arial" w:cs="Arial"/>
                <w:bCs/>
                <w:i/>
              </w:rPr>
              <w:t>meter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Same for aggressor and victim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Same for aggressor and victim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750 for 0.9GHz band</w:t>
            </w:r>
          </w:p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500 for 2GHz band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750 for 0.9GHz band</w:t>
            </w:r>
          </w:p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500 for 2GHz band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1732</w:t>
            </w: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>System loading and activity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Full buffer 100%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Full buffer 100%</w:t>
            </w:r>
          </w:p>
        </w:tc>
        <w:tc>
          <w:tcPr>
            <w:tcW w:w="1512" w:type="dxa"/>
            <w:vAlign w:val="center"/>
          </w:tcPr>
          <w:p w:rsidR="00E65C9E" w:rsidRPr="00E65C9E" w:rsidDel="001910FB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Full buffer 100%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Full buffer 100% 8kbps speech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Full buffer 100%</w:t>
            </w: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lastRenderedPageBreak/>
              <w:t>Network location</w:t>
            </w:r>
          </w:p>
        </w:tc>
        <w:tc>
          <w:tcPr>
            <w:tcW w:w="1512" w:type="dxa"/>
            <w:vAlign w:val="center"/>
          </w:tcPr>
          <w:p w:rsidR="00E65C9E" w:rsidRPr="00E65C9E" w:rsidDel="00E81EF3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Non co-located (at cell edge of legacy)</w:t>
            </w:r>
          </w:p>
        </w:tc>
        <w:tc>
          <w:tcPr>
            <w:tcW w:w="1512" w:type="dxa"/>
            <w:vAlign w:val="center"/>
          </w:tcPr>
          <w:p w:rsidR="00E65C9E" w:rsidRPr="00E65C9E" w:rsidDel="00E81EF3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Co-located with LTE</w:t>
            </w:r>
          </w:p>
        </w:tc>
        <w:tc>
          <w:tcPr>
            <w:tcW w:w="1512" w:type="dxa"/>
            <w:vAlign w:val="center"/>
          </w:tcPr>
          <w:p w:rsidR="00E65C9E" w:rsidRPr="00E65C9E" w:rsidDel="00E81EF3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(see IoT)</w:t>
            </w:r>
          </w:p>
        </w:tc>
        <w:tc>
          <w:tcPr>
            <w:tcW w:w="1512" w:type="dxa"/>
            <w:vAlign w:val="center"/>
          </w:tcPr>
          <w:p w:rsidR="00E65C9E" w:rsidRPr="00E65C9E" w:rsidDel="00E81EF3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Non co-located with IoT</w:t>
            </w:r>
          </w:p>
        </w:tc>
        <w:tc>
          <w:tcPr>
            <w:tcW w:w="1512" w:type="dxa"/>
            <w:vAlign w:val="center"/>
          </w:tcPr>
          <w:p w:rsidR="00E65C9E" w:rsidRPr="00E65C9E" w:rsidDel="00E81EF3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Non co-located with IoT</w:t>
            </w: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>DL subcarrier spacing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15kHz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15kHz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15kHz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>UL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See R1-157783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See R1-157783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SC-FDMA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>DL power control</w:t>
            </w:r>
          </w:p>
        </w:tc>
        <w:tc>
          <w:tcPr>
            <w:tcW w:w="1512" w:type="dxa"/>
            <w:vAlign w:val="center"/>
          </w:tcPr>
          <w:p w:rsidR="00E65C9E" w:rsidRPr="00E65C9E" w:rsidDel="00E81EF3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No</w:t>
            </w:r>
          </w:p>
        </w:tc>
        <w:tc>
          <w:tcPr>
            <w:tcW w:w="1512" w:type="dxa"/>
            <w:vAlign w:val="center"/>
          </w:tcPr>
          <w:p w:rsidR="00E65C9E" w:rsidRPr="00E65C9E" w:rsidDel="00E81EF3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No</w:t>
            </w:r>
          </w:p>
        </w:tc>
        <w:tc>
          <w:tcPr>
            <w:tcW w:w="1512" w:type="dxa"/>
            <w:vAlign w:val="center"/>
          </w:tcPr>
          <w:p w:rsidR="00E65C9E" w:rsidRPr="00E65C9E" w:rsidDel="00E81EF3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No</w:t>
            </w:r>
          </w:p>
        </w:tc>
        <w:tc>
          <w:tcPr>
            <w:tcW w:w="1512" w:type="dxa"/>
            <w:vAlign w:val="center"/>
          </w:tcPr>
          <w:p w:rsidR="00E65C9E" w:rsidRPr="00E65C9E" w:rsidDel="00E81EF3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TR25.942</w:t>
            </w:r>
          </w:p>
        </w:tc>
        <w:tc>
          <w:tcPr>
            <w:tcW w:w="1512" w:type="dxa"/>
            <w:vAlign w:val="center"/>
          </w:tcPr>
          <w:p w:rsidR="00E65C9E" w:rsidRPr="00E65C9E" w:rsidDel="00E81EF3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No</w:t>
            </w: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>UL power control</w:t>
            </w:r>
          </w:p>
        </w:tc>
        <w:tc>
          <w:tcPr>
            <w:tcW w:w="1512" w:type="dxa"/>
            <w:vAlign w:val="center"/>
          </w:tcPr>
          <w:p w:rsidR="00E65C9E" w:rsidRPr="00E65C9E" w:rsidDel="00E81EF3" w:rsidRDefault="00E65C9E" w:rsidP="00E25038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65C9E">
              <w:rPr>
                <w:rFonts w:ascii="Arial" w:hAnsi="Arial" w:cs="Arial"/>
                <w:sz w:val="16"/>
                <w:szCs w:val="16"/>
                <w:highlight w:val="yellow"/>
              </w:rPr>
              <w:t>36.942 section 5.1.1.6 (gamma=1, CLx is based on 5% at max TX power) or using the table in 36.942 section 5.1.1.6 by bandwidth scale</w:t>
            </w:r>
          </w:p>
        </w:tc>
        <w:tc>
          <w:tcPr>
            <w:tcW w:w="1512" w:type="dxa"/>
            <w:vAlign w:val="center"/>
          </w:tcPr>
          <w:p w:rsidR="00E65C9E" w:rsidRPr="00E65C9E" w:rsidDel="00E81EF3" w:rsidRDefault="00E65C9E" w:rsidP="00E25038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65C9E">
              <w:rPr>
                <w:rFonts w:ascii="Arial" w:hAnsi="Arial" w:cs="Arial"/>
                <w:sz w:val="16"/>
                <w:szCs w:val="16"/>
                <w:highlight w:val="yellow"/>
              </w:rPr>
              <w:t>36.942 section 5.1.1.6 (gamma=1, CLx is based on 5% at max power) or using the table in 36.942 section 5.1.1.6 by bandwidth scale</w:t>
            </w:r>
          </w:p>
        </w:tc>
        <w:tc>
          <w:tcPr>
            <w:tcW w:w="1512" w:type="dxa"/>
            <w:vAlign w:val="center"/>
          </w:tcPr>
          <w:p w:rsidR="00E65C9E" w:rsidRPr="00E65C9E" w:rsidDel="00E81EF3" w:rsidRDefault="00E65C9E" w:rsidP="00E25038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5C9E">
              <w:rPr>
                <w:rFonts w:ascii="Arial" w:hAnsi="Arial" w:cs="Arial"/>
                <w:sz w:val="16"/>
                <w:szCs w:val="16"/>
              </w:rPr>
              <w:t>36.942 section 5.1.1.6 (set=1)</w:t>
            </w:r>
          </w:p>
        </w:tc>
        <w:tc>
          <w:tcPr>
            <w:tcW w:w="1512" w:type="dxa"/>
            <w:vAlign w:val="center"/>
          </w:tcPr>
          <w:p w:rsidR="00E65C9E" w:rsidRPr="00E65C9E" w:rsidDel="00E81EF3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TR25.942</w:t>
            </w:r>
          </w:p>
        </w:tc>
        <w:tc>
          <w:tcPr>
            <w:tcW w:w="1512" w:type="dxa"/>
            <w:vAlign w:val="center"/>
          </w:tcPr>
          <w:p w:rsidR="00E65C9E" w:rsidRPr="00E65C9E" w:rsidDel="00E81EF3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CS based on 25.816</w:t>
            </w: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>Frequency reuse</w:t>
            </w:r>
          </w:p>
        </w:tc>
        <w:tc>
          <w:tcPr>
            <w:tcW w:w="1512" w:type="dxa"/>
            <w:vAlign w:val="center"/>
          </w:tcPr>
          <w:p w:rsidR="00E65C9E" w:rsidRPr="00E65C9E" w:rsidDel="00E81EF3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1</w:t>
            </w:r>
          </w:p>
        </w:tc>
        <w:tc>
          <w:tcPr>
            <w:tcW w:w="1512" w:type="dxa"/>
            <w:vAlign w:val="center"/>
          </w:tcPr>
          <w:p w:rsidR="00E65C9E" w:rsidRPr="00E65C9E" w:rsidDel="00E81EF3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1</w:t>
            </w:r>
          </w:p>
        </w:tc>
        <w:tc>
          <w:tcPr>
            <w:tcW w:w="1512" w:type="dxa"/>
            <w:vAlign w:val="center"/>
          </w:tcPr>
          <w:p w:rsidR="00E65C9E" w:rsidRPr="00E65C9E" w:rsidDel="00E81EF3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1</w:t>
            </w:r>
          </w:p>
        </w:tc>
        <w:tc>
          <w:tcPr>
            <w:tcW w:w="1512" w:type="dxa"/>
            <w:vAlign w:val="center"/>
          </w:tcPr>
          <w:p w:rsidR="00E65C9E" w:rsidRPr="00E65C9E" w:rsidDel="00E81EF3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1</w:t>
            </w:r>
          </w:p>
        </w:tc>
        <w:tc>
          <w:tcPr>
            <w:tcW w:w="1512" w:type="dxa"/>
            <w:vAlign w:val="center"/>
          </w:tcPr>
          <w:p w:rsidR="00E65C9E" w:rsidRPr="00E65C9E" w:rsidDel="00E81EF3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4/12</w:t>
            </w: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>Number of scheduled UE per cell (DL)</w:t>
            </w:r>
          </w:p>
        </w:tc>
        <w:tc>
          <w:tcPr>
            <w:tcW w:w="1512" w:type="dxa"/>
            <w:vAlign w:val="center"/>
          </w:tcPr>
          <w:p w:rsidR="00E65C9E" w:rsidRPr="00E65C9E" w:rsidDel="00E81EF3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1</w:t>
            </w:r>
          </w:p>
        </w:tc>
        <w:tc>
          <w:tcPr>
            <w:tcW w:w="1512" w:type="dxa"/>
            <w:vAlign w:val="center"/>
          </w:tcPr>
          <w:p w:rsidR="00E65C9E" w:rsidRPr="00E65C9E" w:rsidDel="00E81EF3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1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1</w:t>
            </w:r>
          </w:p>
        </w:tc>
        <w:tc>
          <w:tcPr>
            <w:tcW w:w="1512" w:type="dxa"/>
            <w:vAlign w:val="center"/>
          </w:tcPr>
          <w:p w:rsidR="00E65C9E" w:rsidRPr="00E65C9E" w:rsidDel="00E81EF3" w:rsidRDefault="00E65C9E" w:rsidP="00E25038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5C9E">
              <w:rPr>
                <w:rFonts w:ascii="Arial" w:hAnsi="Arial" w:cs="Arial"/>
                <w:sz w:val="16"/>
                <w:szCs w:val="16"/>
              </w:rPr>
              <w:t>According to 95% users achieving target of (Eb/No-0.5)dB; non orthogonality 0.4; target Eb/No=7.9dB</w:t>
            </w:r>
          </w:p>
        </w:tc>
        <w:tc>
          <w:tcPr>
            <w:tcW w:w="1512" w:type="dxa"/>
            <w:vAlign w:val="center"/>
          </w:tcPr>
          <w:p w:rsidR="00E65C9E" w:rsidRPr="00E65C9E" w:rsidDel="00E81EF3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>Number of scheduled UE per cell (UL)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highlight w:val="yellow"/>
              </w:rPr>
            </w:pPr>
            <w:r w:rsidRPr="00E65C9E">
              <w:rPr>
                <w:rFonts w:ascii="Arial" w:hAnsi="Arial" w:cs="Arial"/>
                <w:highlight w:val="yellow"/>
              </w:rPr>
              <w:t>FFS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highlight w:val="yellow"/>
              </w:rPr>
            </w:pPr>
            <w:r w:rsidRPr="00E65C9E">
              <w:rPr>
                <w:rFonts w:ascii="Arial" w:hAnsi="Arial" w:cs="Arial"/>
                <w:highlight w:val="yellow"/>
              </w:rPr>
              <w:t>FFS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3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5C9E">
              <w:rPr>
                <w:rFonts w:ascii="Arial" w:hAnsi="Arial" w:cs="Arial"/>
                <w:sz w:val="16"/>
                <w:szCs w:val="16"/>
              </w:rPr>
              <w:t>according to 6dB noise rise; target Eb/No=6.1dB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 xml:space="preserve">BS antenna height in </w:t>
            </w:r>
            <w:r w:rsidRPr="00E65C9E">
              <w:rPr>
                <w:rFonts w:ascii="Arial" w:hAnsi="Arial" w:cs="Arial"/>
                <w:bCs/>
                <w:i/>
              </w:rPr>
              <w:t>meter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30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30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30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30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30</w:t>
            </w: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 xml:space="preserve">BS max TX power in </w:t>
            </w:r>
            <w:r w:rsidRPr="00E65C9E">
              <w:rPr>
                <w:rFonts w:ascii="Arial" w:hAnsi="Arial" w:cs="Arial"/>
                <w:bCs/>
                <w:i/>
              </w:rPr>
              <w:t>dBm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65C9E">
              <w:rPr>
                <w:rFonts w:ascii="Arial" w:hAnsi="Arial" w:cs="Arial"/>
                <w:sz w:val="18"/>
                <w:szCs w:val="18"/>
              </w:rPr>
              <w:t>43dBm/200kHz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46 dbm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46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43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43</w:t>
            </w: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lastRenderedPageBreak/>
              <w:t xml:space="preserve">BS antenna gain including feeder loss in </w:t>
            </w:r>
            <w:r w:rsidRPr="00E65C9E">
              <w:rPr>
                <w:rFonts w:ascii="Arial" w:hAnsi="Arial" w:cs="Arial"/>
                <w:bCs/>
                <w:i/>
              </w:rPr>
              <w:t>dBi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15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15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15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15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15</w:t>
            </w: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>BS antenna pattern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Horizontal (36.942)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Horizontal (36.942)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 xml:space="preserve">Horizontal (36.942) 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Horizontal (36.942)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Horizontal (36.942)</w:t>
            </w: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>BS antenna front-back ratio in dB</w:t>
            </w:r>
          </w:p>
        </w:tc>
        <w:tc>
          <w:tcPr>
            <w:tcW w:w="1512" w:type="dxa"/>
            <w:vAlign w:val="center"/>
          </w:tcPr>
          <w:p w:rsidR="00E65C9E" w:rsidRPr="00E65C9E" w:rsidDel="00DD105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20</w:t>
            </w:r>
          </w:p>
        </w:tc>
        <w:tc>
          <w:tcPr>
            <w:tcW w:w="1512" w:type="dxa"/>
            <w:vAlign w:val="center"/>
          </w:tcPr>
          <w:p w:rsidR="00E65C9E" w:rsidRPr="00E65C9E" w:rsidDel="00DD105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20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20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20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20</w:t>
            </w: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 xml:space="preserve">UE antenna height in </w:t>
            </w:r>
            <w:r w:rsidRPr="00E65C9E">
              <w:rPr>
                <w:rFonts w:ascii="Arial" w:hAnsi="Arial" w:cs="Arial"/>
                <w:bCs/>
                <w:i/>
              </w:rPr>
              <w:t>meter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1.5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1.5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1.5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1.5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1.5</w:t>
            </w: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 xml:space="preserve">UE TX power in </w:t>
            </w:r>
            <w:r w:rsidRPr="00E65C9E">
              <w:rPr>
                <w:rFonts w:ascii="Arial" w:hAnsi="Arial" w:cs="Arial"/>
                <w:bCs/>
                <w:i/>
              </w:rPr>
              <w:t>dBm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-40 to 23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-40 to 23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-40 to 23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-50 to 24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5 to 33</w:t>
            </w: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 xml:space="preserve">UE antenna gain in </w:t>
            </w:r>
            <w:r w:rsidRPr="00E65C9E">
              <w:rPr>
                <w:rFonts w:ascii="Arial" w:hAnsi="Arial" w:cs="Arial"/>
                <w:bCs/>
                <w:i/>
              </w:rPr>
              <w:t>dBi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65C9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0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0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0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0</w:t>
            </w: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>Building penetration loss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 xml:space="preserve">45.820 Annex D.1 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 xml:space="preserve">45.820 Annex D.1 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n/a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n/a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n/a</w:t>
            </w: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>Cell selection margin in dB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3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3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3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3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3</w:t>
            </w: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>BS-MS min couple loss in dB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70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70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70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70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70</w:t>
            </w: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>BS ACLR in dB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40 to 60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n/a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45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TR45.820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5C9E">
              <w:rPr>
                <w:rFonts w:ascii="Arial" w:hAnsi="Arial" w:cs="Arial"/>
                <w:sz w:val="16"/>
                <w:szCs w:val="16"/>
              </w:rPr>
              <w:t>TS45.005 (includes wideband noise emissions and IM products)</w:t>
            </w: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>BS ACS in dB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40 to 50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n/a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45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TR45.820</w:t>
            </w:r>
          </w:p>
        </w:tc>
        <w:tc>
          <w:tcPr>
            <w:tcW w:w="1512" w:type="dxa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  <w:sz w:val="16"/>
                <w:szCs w:val="16"/>
              </w:rPr>
              <w:t>TS45.005 (guard-band of 100kHz or more between IoT and GSM)</w:t>
            </w: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>UE ACLR in dB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20 to 50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n/a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30 (ACLR1) 43 (ACLR2)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TR45.820</w:t>
            </w:r>
          </w:p>
        </w:tc>
        <w:tc>
          <w:tcPr>
            <w:tcW w:w="1512" w:type="dxa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TS45.005</w:t>
            </w: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lastRenderedPageBreak/>
              <w:t>UE ACS in dB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20 to 40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n/a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33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TR45.820</w:t>
            </w:r>
          </w:p>
        </w:tc>
        <w:tc>
          <w:tcPr>
            <w:tcW w:w="1512" w:type="dxa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  <w:sz w:val="16"/>
                <w:szCs w:val="16"/>
              </w:rPr>
              <w:t>TS45.005 (guard-band of 100kHz or more between IoT and GSM)</w:t>
            </w: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 xml:space="preserve">BS noise figure in </w:t>
            </w:r>
            <w:r w:rsidRPr="00E65C9E">
              <w:rPr>
                <w:rFonts w:ascii="Arial" w:hAnsi="Arial" w:cs="Arial"/>
                <w:bCs/>
                <w:i/>
              </w:rPr>
              <w:t>dB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5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lang w:eastAsia="ja-JP"/>
              </w:rPr>
            </w:pPr>
            <w:r w:rsidRPr="00E65C9E">
              <w:rPr>
                <w:rFonts w:ascii="Arial" w:hAnsi="Arial" w:cs="Arial"/>
                <w:lang w:eastAsia="ja-JP"/>
              </w:rPr>
              <w:t>5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5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lang w:eastAsia="ja-JP"/>
              </w:rPr>
            </w:pPr>
            <w:r w:rsidRPr="00E65C9E">
              <w:rPr>
                <w:rFonts w:ascii="Arial" w:hAnsi="Arial" w:cs="Arial"/>
                <w:lang w:eastAsia="ja-JP"/>
              </w:rPr>
              <w:t>5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lang w:eastAsia="ja-JP"/>
              </w:rPr>
            </w:pPr>
            <w:r w:rsidRPr="00E65C9E">
              <w:rPr>
                <w:rFonts w:ascii="Arial" w:hAnsi="Arial" w:cs="Arial"/>
                <w:lang w:eastAsia="ja-JP"/>
              </w:rPr>
              <w:t>5</w:t>
            </w: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 xml:space="preserve">UE noise figure in </w:t>
            </w:r>
            <w:r w:rsidRPr="00E65C9E">
              <w:rPr>
                <w:rFonts w:ascii="Arial" w:hAnsi="Arial" w:cs="Arial"/>
                <w:bCs/>
                <w:i/>
              </w:rPr>
              <w:t>dB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9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9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9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9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9</w:t>
            </w: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>BS-UE path-loss model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TR36.942 macro urban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TR36.942 macro urban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TR36.942 macro urban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TR36.942 macro urban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E65C9E">
              <w:rPr>
                <w:rFonts w:ascii="Arial" w:hAnsi="Arial" w:cs="Arial"/>
              </w:rPr>
              <w:t>TR36.942 macro urban</w:t>
            </w: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 xml:space="preserve">Standard deviation of BS-UE log-normal shadow fading in </w:t>
            </w:r>
            <w:r w:rsidRPr="00E65C9E">
              <w:rPr>
                <w:rFonts w:ascii="Arial" w:hAnsi="Arial" w:cs="Arial"/>
                <w:bCs/>
                <w:i/>
              </w:rPr>
              <w:t>dB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>10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>10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>10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>10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>8</w:t>
            </w: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>Shadowing correlation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>Inter-cell 0.5 intra-cell 1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>Inter-cell 0.5 intra-cell 1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>Inter-cell 0.5 intra-cell 1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>Inter-cell 0.5 intra-cell 1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>Inter-cell 0.5 intra-cell 1</w:t>
            </w: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>Link-level performance model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>As in Annex A.1 in 36.942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</w:p>
        </w:tc>
      </w:tr>
      <w:tr w:rsidR="00E65C9E" w:rsidRPr="00E65C9E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</w:rPr>
              <w:t>Evaluation metrics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65C9E">
              <w:rPr>
                <w:rFonts w:ascii="Arial" w:hAnsi="Arial" w:cs="Arial"/>
                <w:bCs/>
                <w:sz w:val="16"/>
                <w:szCs w:val="16"/>
              </w:rPr>
              <w:t>SINR vs ACS (as victim)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65C9E">
              <w:rPr>
                <w:rFonts w:ascii="Arial" w:hAnsi="Arial" w:cs="Arial"/>
                <w:bCs/>
                <w:sz w:val="16"/>
                <w:szCs w:val="16"/>
              </w:rPr>
              <w:t>SINR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65C9E">
              <w:rPr>
                <w:rFonts w:ascii="Arial" w:hAnsi="Arial" w:cs="Arial"/>
                <w:bCs/>
                <w:sz w:val="16"/>
                <w:szCs w:val="16"/>
              </w:rPr>
              <w:t>SINR and throughput loss vs standalone IoT ACLR (as victim); SINR and throughput loss vs in-band/guard-band IoT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E65C9E">
              <w:rPr>
                <w:rFonts w:ascii="Arial" w:hAnsi="Arial" w:cs="Arial"/>
                <w:bCs/>
                <w:sz w:val="16"/>
                <w:szCs w:val="16"/>
              </w:rPr>
              <w:t>Capacity vs IoT ACLR (as victim). For DL, capacity is the number of satisfied users. For UL, capacity is the number of users when 6dB noise rise is reached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65C9E">
              <w:rPr>
                <w:rFonts w:ascii="Arial" w:hAnsi="Arial" w:cs="Arial"/>
                <w:bCs/>
                <w:sz w:val="16"/>
                <w:szCs w:val="16"/>
              </w:rPr>
              <w:t>SINR and outage vs IoT ACLR (as victim)</w:t>
            </w:r>
          </w:p>
        </w:tc>
      </w:tr>
      <w:tr w:rsidR="00E65C9E" w:rsidRPr="00E65C9E" w:rsidDel="008071B7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Del="008071B7" w:rsidRDefault="00E65C9E" w:rsidP="00E25038">
            <w:pPr>
              <w:spacing w:after="0"/>
              <w:jc w:val="center"/>
              <w:rPr>
                <w:rFonts w:ascii="Arial" w:hAnsi="Arial" w:cs="Arial"/>
                <w:bCs/>
                <w:lang w:eastAsia="ja-JP"/>
              </w:rPr>
            </w:pPr>
            <w:r w:rsidRPr="00E65C9E">
              <w:rPr>
                <w:rFonts w:ascii="Arial" w:hAnsi="Arial" w:cs="Arial"/>
                <w:bCs/>
                <w:lang w:eastAsia="ja-JP"/>
              </w:rPr>
              <w:t>Carrier separation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after="0"/>
              <w:jc w:val="center"/>
              <w:rPr>
                <w:rFonts w:ascii="Arial" w:hAnsi="Arial" w:cs="Arial"/>
                <w:bCs/>
                <w:lang w:eastAsia="ja-JP"/>
              </w:rPr>
            </w:pPr>
            <w:r w:rsidRPr="00E65C9E">
              <w:rPr>
                <w:rFonts w:ascii="Arial" w:hAnsi="Arial" w:cs="Arial"/>
                <w:bCs/>
                <w:lang w:eastAsia="ja-JP"/>
              </w:rPr>
              <w:t>0.3MHz to GSM</w:t>
            </w:r>
          </w:p>
          <w:p w:rsidR="00E65C9E" w:rsidRPr="00E65C9E" w:rsidRDefault="00E65C9E" w:rsidP="00E25038">
            <w:pPr>
              <w:spacing w:after="0"/>
              <w:jc w:val="center"/>
              <w:rPr>
                <w:rFonts w:ascii="Arial" w:hAnsi="Arial" w:cs="Arial"/>
                <w:bCs/>
                <w:lang w:eastAsia="ja-JP"/>
              </w:rPr>
            </w:pPr>
            <w:r w:rsidRPr="00E65C9E">
              <w:rPr>
                <w:rFonts w:ascii="Arial" w:hAnsi="Arial" w:cs="Arial"/>
                <w:bCs/>
                <w:lang w:eastAsia="ja-JP"/>
              </w:rPr>
              <w:t>2.6MHz to UMTS</w:t>
            </w:r>
          </w:p>
          <w:p w:rsidR="00E65C9E" w:rsidRPr="00E65C9E" w:rsidDel="008071B7" w:rsidRDefault="00E65C9E" w:rsidP="00E25038">
            <w:pPr>
              <w:spacing w:after="0"/>
              <w:jc w:val="center"/>
              <w:rPr>
                <w:rFonts w:ascii="Arial" w:hAnsi="Arial" w:cs="Arial"/>
                <w:bCs/>
                <w:lang w:eastAsia="ja-JP"/>
              </w:rPr>
            </w:pPr>
            <w:r w:rsidRPr="00E65C9E">
              <w:rPr>
                <w:rFonts w:ascii="Arial" w:hAnsi="Arial" w:cs="Arial"/>
                <w:bCs/>
                <w:lang w:eastAsia="ja-JP"/>
              </w:rPr>
              <w:t>5.12MHz to LTE</w:t>
            </w:r>
          </w:p>
        </w:tc>
        <w:tc>
          <w:tcPr>
            <w:tcW w:w="1512" w:type="dxa"/>
            <w:vAlign w:val="center"/>
          </w:tcPr>
          <w:p w:rsidR="00E65C9E" w:rsidRPr="00E65C9E" w:rsidDel="008071B7" w:rsidRDefault="00E65C9E" w:rsidP="00E25038">
            <w:pPr>
              <w:spacing w:after="0"/>
              <w:jc w:val="center"/>
              <w:rPr>
                <w:rFonts w:ascii="Arial" w:hAnsi="Arial" w:cs="Arial"/>
                <w:bCs/>
                <w:lang w:eastAsia="ja-JP"/>
              </w:rPr>
            </w:pPr>
          </w:p>
        </w:tc>
        <w:tc>
          <w:tcPr>
            <w:tcW w:w="1512" w:type="dxa"/>
            <w:vAlign w:val="center"/>
          </w:tcPr>
          <w:p w:rsidR="00E65C9E" w:rsidRPr="00E65C9E" w:rsidDel="008071B7" w:rsidRDefault="00E65C9E" w:rsidP="00E25038">
            <w:pPr>
              <w:spacing w:after="0"/>
              <w:jc w:val="center"/>
              <w:rPr>
                <w:rFonts w:ascii="Arial" w:hAnsi="Arial" w:cs="Arial"/>
                <w:bCs/>
                <w:lang w:eastAsia="ja-JP"/>
              </w:rPr>
            </w:pPr>
            <w:r w:rsidRPr="00E65C9E">
              <w:rPr>
                <w:rFonts w:ascii="Arial" w:hAnsi="Arial" w:cs="Arial"/>
                <w:bCs/>
                <w:lang w:eastAsia="ja-JP"/>
              </w:rPr>
              <w:t>See NB-IOT(standalone case)</w:t>
            </w:r>
          </w:p>
        </w:tc>
        <w:tc>
          <w:tcPr>
            <w:tcW w:w="1512" w:type="dxa"/>
            <w:vAlign w:val="center"/>
          </w:tcPr>
          <w:p w:rsidR="00E65C9E" w:rsidRPr="00E65C9E" w:rsidDel="008071B7" w:rsidRDefault="00E65C9E" w:rsidP="00E25038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  <w:lang w:eastAsia="ja-JP"/>
              </w:rPr>
              <w:t>See NB-IOT(standalone case)</w:t>
            </w:r>
          </w:p>
        </w:tc>
        <w:tc>
          <w:tcPr>
            <w:tcW w:w="1512" w:type="dxa"/>
            <w:vAlign w:val="center"/>
          </w:tcPr>
          <w:p w:rsidR="00E65C9E" w:rsidRPr="00E65C9E" w:rsidDel="008071B7" w:rsidRDefault="00E65C9E" w:rsidP="00E25038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E65C9E">
              <w:rPr>
                <w:rFonts w:ascii="Arial" w:hAnsi="Arial" w:cs="Arial"/>
                <w:bCs/>
                <w:lang w:eastAsia="ja-JP"/>
              </w:rPr>
              <w:t>See NB-IOT(standalone case)</w:t>
            </w:r>
          </w:p>
        </w:tc>
      </w:tr>
      <w:tr w:rsidR="00E65C9E" w:rsidRPr="00D7458C" w:rsidDel="008071B7" w:rsidTr="00E25038">
        <w:trPr>
          <w:cantSplit/>
          <w:jc w:val="center"/>
        </w:trPr>
        <w:tc>
          <w:tcPr>
            <w:tcW w:w="2098" w:type="dxa"/>
            <w:vAlign w:val="center"/>
          </w:tcPr>
          <w:p w:rsidR="00E65C9E" w:rsidRPr="00E65C9E" w:rsidRDefault="00E65C9E" w:rsidP="00E25038">
            <w:pPr>
              <w:spacing w:after="0"/>
              <w:jc w:val="center"/>
              <w:rPr>
                <w:rFonts w:ascii="Arial" w:hAnsi="Arial" w:cs="Arial"/>
                <w:bCs/>
                <w:lang w:eastAsia="ja-JP"/>
              </w:rPr>
            </w:pPr>
            <w:r w:rsidRPr="00E65C9E">
              <w:rPr>
                <w:rFonts w:ascii="Arial" w:hAnsi="Arial" w:cs="Arial"/>
                <w:bCs/>
                <w:lang w:eastAsia="ja-JP"/>
              </w:rPr>
              <w:lastRenderedPageBreak/>
              <w:t>L</w:t>
            </w:r>
            <w:r w:rsidRPr="00E65C9E">
              <w:rPr>
                <w:rFonts w:ascii="Arial" w:hAnsi="Arial" w:cs="Arial" w:hint="eastAsia"/>
                <w:bCs/>
                <w:lang w:eastAsia="ja-JP"/>
              </w:rPr>
              <w:t xml:space="preserve">ocation </w:t>
            </w:r>
            <w:r w:rsidRPr="00E65C9E">
              <w:rPr>
                <w:rFonts w:ascii="Arial" w:hAnsi="Arial" w:cs="Arial"/>
                <w:bCs/>
                <w:lang w:eastAsia="ja-JP"/>
              </w:rPr>
              <w:t>of NB-IOT carrier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after="0"/>
              <w:jc w:val="center"/>
              <w:rPr>
                <w:rFonts w:ascii="Arial" w:hAnsi="Arial" w:cs="Arial"/>
                <w:bCs/>
                <w:lang w:eastAsia="ja-JP"/>
              </w:rPr>
            </w:pPr>
            <w:r w:rsidRPr="00E65C9E">
              <w:rPr>
                <w:rFonts w:ascii="Arial" w:hAnsi="Arial" w:cs="Arial" w:hint="eastAsia"/>
                <w:bCs/>
                <w:lang w:eastAsia="ja-JP"/>
              </w:rPr>
              <w:t>-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after="0"/>
              <w:jc w:val="center"/>
              <w:rPr>
                <w:rFonts w:ascii="Arial" w:hAnsi="Arial" w:cs="Arial"/>
                <w:bCs/>
                <w:lang w:eastAsia="ja-JP"/>
              </w:rPr>
            </w:pPr>
            <w:r w:rsidRPr="00E65C9E">
              <w:rPr>
                <w:rFonts w:ascii="Arial" w:hAnsi="Arial" w:cs="Arial"/>
                <w:bCs/>
                <w:lang w:eastAsia="ja-JP"/>
              </w:rPr>
              <w:t>For in band operation, number 21</w:t>
            </w:r>
          </w:p>
          <w:p w:rsidR="00E65C9E" w:rsidRPr="00E65C9E" w:rsidRDefault="00E65C9E" w:rsidP="00E25038">
            <w:pPr>
              <w:spacing w:after="0"/>
              <w:jc w:val="center"/>
              <w:rPr>
                <w:rFonts w:ascii="Arial" w:hAnsi="Arial" w:cs="Arial"/>
                <w:bCs/>
                <w:lang w:eastAsia="ja-JP"/>
              </w:rPr>
            </w:pPr>
            <w:r w:rsidRPr="00E65C9E">
              <w:rPr>
                <w:rFonts w:ascii="Arial" w:hAnsi="Arial" w:cs="Arial"/>
                <w:bCs/>
                <w:lang w:eastAsia="ja-JP"/>
              </w:rPr>
              <w:t>For guard band, adjacent to number 49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after="0"/>
              <w:jc w:val="center"/>
              <w:rPr>
                <w:rFonts w:ascii="Arial" w:hAnsi="Arial" w:cs="Arial"/>
                <w:bCs/>
                <w:lang w:eastAsia="ja-JP"/>
              </w:rPr>
            </w:pPr>
            <w:r w:rsidRPr="00E65C9E">
              <w:rPr>
                <w:rFonts w:ascii="Arial" w:hAnsi="Arial" w:cs="Arial" w:hint="eastAsia"/>
                <w:bCs/>
                <w:lang w:eastAsia="ja-JP"/>
              </w:rPr>
              <w:t>-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after="0"/>
              <w:jc w:val="center"/>
              <w:rPr>
                <w:rFonts w:ascii="Arial" w:hAnsi="Arial" w:cs="Arial"/>
                <w:bCs/>
                <w:lang w:eastAsia="ja-JP"/>
              </w:rPr>
            </w:pPr>
            <w:r w:rsidRPr="00E65C9E">
              <w:rPr>
                <w:rFonts w:ascii="Arial" w:hAnsi="Arial" w:cs="Arial" w:hint="eastAsia"/>
                <w:bCs/>
                <w:lang w:eastAsia="ja-JP"/>
              </w:rPr>
              <w:t>-</w:t>
            </w:r>
          </w:p>
        </w:tc>
        <w:tc>
          <w:tcPr>
            <w:tcW w:w="1512" w:type="dxa"/>
            <w:vAlign w:val="center"/>
          </w:tcPr>
          <w:p w:rsidR="00E65C9E" w:rsidRPr="00E65C9E" w:rsidRDefault="00E65C9E" w:rsidP="00E25038">
            <w:pPr>
              <w:spacing w:after="0"/>
              <w:jc w:val="center"/>
              <w:rPr>
                <w:rFonts w:ascii="Arial" w:hAnsi="Arial" w:cs="Arial"/>
                <w:bCs/>
                <w:lang w:eastAsia="ja-JP"/>
              </w:rPr>
            </w:pPr>
            <w:r w:rsidRPr="00E65C9E">
              <w:rPr>
                <w:rFonts w:ascii="Arial" w:hAnsi="Arial" w:cs="Arial" w:hint="eastAsia"/>
                <w:bCs/>
                <w:lang w:eastAsia="ja-JP"/>
              </w:rPr>
              <w:t>-</w:t>
            </w:r>
          </w:p>
        </w:tc>
      </w:tr>
    </w:tbl>
    <w:p w:rsidR="00F319C2" w:rsidRPr="00EF2922" w:rsidRDefault="00F319C2" w:rsidP="004D360E">
      <w:pPr>
        <w:rPr>
          <w:rFonts w:asciiTheme="majorHAnsi" w:hAnsiTheme="majorHAnsi" w:cstheme="majorHAnsi"/>
        </w:rPr>
      </w:pPr>
    </w:p>
    <w:sectPr w:rsidR="00F319C2" w:rsidRPr="00EF2922" w:rsidSect="00876AF6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B4A" w:rsidRDefault="00A24B4A" w:rsidP="00D40377">
      <w:pPr>
        <w:spacing w:after="0"/>
      </w:pPr>
      <w:r>
        <w:separator/>
      </w:r>
    </w:p>
  </w:endnote>
  <w:endnote w:type="continuationSeparator" w:id="0">
    <w:p w:rsidR="00A24B4A" w:rsidRDefault="00A24B4A" w:rsidP="00D403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B4A" w:rsidRDefault="00A24B4A" w:rsidP="00D40377">
      <w:pPr>
        <w:spacing w:after="0"/>
      </w:pPr>
      <w:r>
        <w:separator/>
      </w:r>
    </w:p>
  </w:footnote>
  <w:footnote w:type="continuationSeparator" w:id="0">
    <w:p w:rsidR="00A24B4A" w:rsidRDefault="00A24B4A" w:rsidP="00D403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47217"/>
    <w:multiLevelType w:val="hybridMultilevel"/>
    <w:tmpl w:val="146E42C8"/>
    <w:lvl w:ilvl="0" w:tplc="32A08D74">
      <w:start w:val="46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C53C0B"/>
    <w:multiLevelType w:val="hybridMultilevel"/>
    <w:tmpl w:val="BAF25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80715E"/>
    <w:multiLevelType w:val="hybridMultilevel"/>
    <w:tmpl w:val="E062C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9A34BA"/>
    <w:multiLevelType w:val="hybridMultilevel"/>
    <w:tmpl w:val="8FBA34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trackRevisions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047"/>
    <w:rsid w:val="000B0BE7"/>
    <w:rsid w:val="000E75E3"/>
    <w:rsid w:val="001C738F"/>
    <w:rsid w:val="001D053B"/>
    <w:rsid w:val="00223346"/>
    <w:rsid w:val="002A175D"/>
    <w:rsid w:val="002D016D"/>
    <w:rsid w:val="002D49D4"/>
    <w:rsid w:val="003A1594"/>
    <w:rsid w:val="0049796D"/>
    <w:rsid w:val="004D360E"/>
    <w:rsid w:val="005675CB"/>
    <w:rsid w:val="00567A64"/>
    <w:rsid w:val="005B125C"/>
    <w:rsid w:val="005B73DB"/>
    <w:rsid w:val="005C798E"/>
    <w:rsid w:val="00621047"/>
    <w:rsid w:val="00647A58"/>
    <w:rsid w:val="006B33A5"/>
    <w:rsid w:val="006E6470"/>
    <w:rsid w:val="0078095F"/>
    <w:rsid w:val="00787034"/>
    <w:rsid w:val="007B6F42"/>
    <w:rsid w:val="008071B7"/>
    <w:rsid w:val="00811F8B"/>
    <w:rsid w:val="00837B9C"/>
    <w:rsid w:val="00876AF6"/>
    <w:rsid w:val="008F346B"/>
    <w:rsid w:val="009268E2"/>
    <w:rsid w:val="009A61E1"/>
    <w:rsid w:val="00A24B4A"/>
    <w:rsid w:val="00A26A69"/>
    <w:rsid w:val="00A76869"/>
    <w:rsid w:val="00A925B3"/>
    <w:rsid w:val="00A96184"/>
    <w:rsid w:val="00AB71D0"/>
    <w:rsid w:val="00AC3383"/>
    <w:rsid w:val="00B471A8"/>
    <w:rsid w:val="00B52130"/>
    <w:rsid w:val="00BE5B6F"/>
    <w:rsid w:val="00C21409"/>
    <w:rsid w:val="00C647AA"/>
    <w:rsid w:val="00CA07C2"/>
    <w:rsid w:val="00D3702D"/>
    <w:rsid w:val="00D40377"/>
    <w:rsid w:val="00D51D03"/>
    <w:rsid w:val="00D7458C"/>
    <w:rsid w:val="00DB4D63"/>
    <w:rsid w:val="00E65C9E"/>
    <w:rsid w:val="00E90873"/>
    <w:rsid w:val="00EA7362"/>
    <w:rsid w:val="00EF2922"/>
    <w:rsid w:val="00EF681E"/>
    <w:rsid w:val="00F319C2"/>
    <w:rsid w:val="00F5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56EB8F0F-400E-4251-BBC6-27CCA3700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047"/>
    <w:pPr>
      <w:spacing w:after="180"/>
    </w:pPr>
    <w:rPr>
      <w:rFonts w:ascii="Times New Roman" w:eastAsia="ＭＳ 明朝" w:hAnsi="Times New Roman" w:cs="Times New Roman"/>
      <w:kern w:val="0"/>
      <w:sz w:val="20"/>
      <w:szCs w:val="20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link w:val="10"/>
    <w:qFormat/>
    <w:rsid w:val="00567A64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ＭＳ 明朝" w:hAnsi="Arial" w:cs="Times New Roman"/>
      <w:kern w:val="0"/>
      <w:sz w:val="36"/>
      <w:szCs w:val="20"/>
      <w:lang w:val="en-GB" w:eastAsia="de-DE"/>
    </w:rPr>
  </w:style>
  <w:style w:type="paragraph" w:styleId="3">
    <w:name w:val="heading 3"/>
    <w:basedOn w:val="a"/>
    <w:next w:val="a"/>
    <w:link w:val="30"/>
    <w:qFormat/>
    <w:rsid w:val="00567A64"/>
    <w:pPr>
      <w:keepNext/>
      <w:numPr>
        <w:ilvl w:val="2"/>
        <w:numId w:val="2"/>
      </w:numPr>
      <w:ind w:leftChars="400" w:left="400"/>
      <w:outlineLvl w:val="2"/>
    </w:pPr>
    <w:rPr>
      <w:rFonts w:ascii="Arial" w:eastAsia="ＭＳ ゴシック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0"/>
    <w:qFormat/>
    <w:rsid w:val="00567A64"/>
    <w:pPr>
      <w:keepLines/>
      <w:numPr>
        <w:ilvl w:val="3"/>
      </w:numPr>
      <w:spacing w:before="120"/>
      <w:ind w:leftChars="0" w:left="0"/>
      <w:outlineLvl w:val="3"/>
    </w:pPr>
    <w:rPr>
      <w:rFonts w:eastAsia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04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621047"/>
    <w:rPr>
      <w:rFonts w:asciiTheme="majorHAnsi" w:eastAsiaTheme="majorEastAsia" w:hAnsiTheme="majorHAnsi" w:cstheme="majorBidi"/>
      <w:kern w:val="0"/>
      <w:sz w:val="18"/>
      <w:szCs w:val="18"/>
      <w:lang w:val="en-GB" w:eastAsia="de-DE"/>
    </w:rPr>
  </w:style>
  <w:style w:type="paragraph" w:styleId="a5">
    <w:name w:val="List Paragraph"/>
    <w:basedOn w:val="a"/>
    <w:uiPriority w:val="34"/>
    <w:qFormat/>
    <w:rsid w:val="001C738F"/>
    <w:pPr>
      <w:ind w:leftChars="400" w:left="840"/>
    </w:pPr>
  </w:style>
  <w:style w:type="character" w:customStyle="1" w:styleId="10">
    <w:name w:val="見出し 1 (文字)"/>
    <w:aliases w:val="H1 (文字),h1 (文字),NMP Heading 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rsid w:val="00567A64"/>
    <w:rPr>
      <w:rFonts w:ascii="Arial" w:eastAsia="ＭＳ 明朝" w:hAnsi="Arial" w:cs="Times New Roman"/>
      <w:kern w:val="0"/>
      <w:sz w:val="36"/>
      <w:szCs w:val="20"/>
      <w:lang w:val="en-GB" w:eastAsia="de-DE"/>
    </w:rPr>
  </w:style>
  <w:style w:type="character" w:customStyle="1" w:styleId="30">
    <w:name w:val="見出し 3 (文字)"/>
    <w:basedOn w:val="a0"/>
    <w:link w:val="3"/>
    <w:rsid w:val="00567A64"/>
    <w:rPr>
      <w:rFonts w:ascii="Arial" w:eastAsia="ＭＳ ゴシック" w:hAnsi="Arial" w:cs="Times New Roman"/>
      <w:kern w:val="0"/>
      <w:sz w:val="20"/>
      <w:szCs w:val="20"/>
      <w:lang w:val="en-GB" w:eastAsia="de-D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567A64"/>
    <w:rPr>
      <w:rFonts w:ascii="Arial" w:eastAsia="ＭＳ 明朝" w:hAnsi="Arial" w:cs="Times New Roman"/>
      <w:kern w:val="0"/>
      <w:sz w:val="24"/>
      <w:szCs w:val="20"/>
      <w:lang w:val="en-GB" w:eastAsia="de-DE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a7"/>
    <w:rsid w:val="00567A64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de-DE" w:eastAsia="de-D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6"/>
    <w:rsid w:val="00567A64"/>
    <w:rPr>
      <w:rFonts w:ascii="Arial" w:eastAsia="ＭＳ 明朝" w:hAnsi="Arial" w:cs="Times New Roman"/>
      <w:b/>
      <w:noProof/>
      <w:kern w:val="0"/>
      <w:sz w:val="18"/>
      <w:szCs w:val="20"/>
      <w:lang w:val="de-DE" w:eastAsia="de-DE"/>
    </w:rPr>
  </w:style>
  <w:style w:type="paragraph" w:styleId="a8">
    <w:name w:val="Document Map"/>
    <w:basedOn w:val="a"/>
    <w:link w:val="a9"/>
    <w:uiPriority w:val="99"/>
    <w:semiHidden/>
    <w:unhideWhenUsed/>
    <w:rsid w:val="00D40377"/>
    <w:rPr>
      <w:rFonts w:ascii="SimSun" w:eastAsia="SimSun"/>
      <w:sz w:val="18"/>
      <w:szCs w:val="18"/>
    </w:rPr>
  </w:style>
  <w:style w:type="character" w:customStyle="1" w:styleId="a9">
    <w:name w:val="見出しマップ (文字)"/>
    <w:basedOn w:val="a0"/>
    <w:link w:val="a8"/>
    <w:uiPriority w:val="99"/>
    <w:semiHidden/>
    <w:rsid w:val="00D40377"/>
    <w:rPr>
      <w:rFonts w:ascii="SimSun" w:eastAsia="SimSun" w:hAnsi="Times New Roman" w:cs="Times New Roman"/>
      <w:kern w:val="0"/>
      <w:sz w:val="18"/>
      <w:szCs w:val="18"/>
      <w:lang w:val="en-GB" w:eastAsia="de-DE"/>
    </w:rPr>
  </w:style>
  <w:style w:type="paragraph" w:styleId="aa">
    <w:name w:val="footer"/>
    <w:basedOn w:val="a"/>
    <w:link w:val="ab"/>
    <w:uiPriority w:val="99"/>
    <w:unhideWhenUsed/>
    <w:rsid w:val="00D4037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b">
    <w:name w:val="フッター (文字)"/>
    <w:basedOn w:val="a0"/>
    <w:link w:val="aa"/>
    <w:uiPriority w:val="99"/>
    <w:rsid w:val="00D40377"/>
    <w:rPr>
      <w:rFonts w:ascii="Times New Roman" w:eastAsia="ＭＳ 明朝" w:hAnsi="Times New Roman" w:cs="Times New Roman"/>
      <w:kern w:val="0"/>
      <w:sz w:val="18"/>
      <w:szCs w:val="18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643</Words>
  <Characters>3669</Characters>
  <Application>Microsoft Office Word</Application>
  <DocSecurity>0</DocSecurity>
  <Lines>30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Intel Corporation</Company>
  <LinksUpToDate>false</LinksUpToDate>
  <CharactersWithSpaces>4304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hiromasa</dc:creator>
  <cp:lastModifiedBy>hiromasa</cp:lastModifiedBy>
  <cp:revision>2</cp:revision>
  <dcterms:created xsi:type="dcterms:W3CDTF">2015-11-20T02:15:00Z</dcterms:created>
  <dcterms:modified xsi:type="dcterms:W3CDTF">2015-11-20T02:15:00Z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1447898488</vt:lpwstr>
  </property>
</Properties>
</file>